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D485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 xml:space="preserve">Technical Case Study 2: </w:t>
      </w:r>
      <w:proofErr w:type="spellStart"/>
      <w:r w:rsidRPr="0008417C">
        <w:rPr>
          <w:b/>
          <w:bCs/>
        </w:rPr>
        <w:t>DigitalAnumati</w:t>
      </w:r>
      <w:proofErr w:type="spellEnd"/>
    </w:p>
    <w:p w14:paraId="4C5F9861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Architecting the Ultimate DPDP Truth Layer: Injecting B2B Compliance Data into the Agentic Web</w:t>
      </w:r>
    </w:p>
    <w:p w14:paraId="0A65A592" w14:textId="77777777" w:rsidR="0008417C" w:rsidRPr="0008417C" w:rsidRDefault="0008417C" w:rsidP="0008417C">
      <w:r w:rsidRPr="0008417C">
        <w:rPr>
          <w:b/>
          <w:bCs/>
        </w:rPr>
        <w:t>Client:</w:t>
      </w:r>
      <w:r w:rsidRPr="0008417C">
        <w:t xml:space="preserve"> </w:t>
      </w:r>
      <w:proofErr w:type="spellStart"/>
      <w:r w:rsidRPr="0008417C">
        <w:t>DigitalAnumati</w:t>
      </w:r>
      <w:proofErr w:type="spellEnd"/>
      <w:r w:rsidRPr="0008417C">
        <w:t xml:space="preserve"> (trust.digitalanumati.com) </w:t>
      </w:r>
      <w:r w:rsidRPr="0008417C">
        <w:rPr>
          <w:b/>
          <w:bCs/>
        </w:rPr>
        <w:t>Sector:</w:t>
      </w:r>
      <w:r w:rsidRPr="0008417C">
        <w:t xml:space="preserve"> Enterprise B2B SaaS (Privacy Tech &amp; Consent Management) </w:t>
      </w:r>
      <w:r w:rsidRPr="0008417C">
        <w:rPr>
          <w:b/>
          <w:bCs/>
        </w:rPr>
        <w:t>Timeline:</w:t>
      </w:r>
      <w:r w:rsidRPr="0008417C">
        <w:t xml:space="preserve"> Q1 2026 </w:t>
      </w:r>
      <w:r w:rsidRPr="0008417C">
        <w:rPr>
          <w:b/>
          <w:bCs/>
        </w:rPr>
        <w:t>Key Metric:</w:t>
      </w:r>
      <w:r w:rsidRPr="0008417C">
        <w:t xml:space="preserve"> 229 Seconds Average Engagement Time (AI Referral Traffic)</w:t>
      </w:r>
    </w:p>
    <w:p w14:paraId="788D8DD4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1. The Enterprise Procurement Crisis</w:t>
      </w:r>
    </w:p>
    <w:p w14:paraId="6986FC45" w14:textId="77777777" w:rsidR="0008417C" w:rsidRPr="0008417C" w:rsidRDefault="0008417C" w:rsidP="0008417C">
      <w:r w:rsidRPr="0008417C">
        <w:t xml:space="preserve">With the enforcement of the Indian Digital Personal Data Protection (DPDP) Act, enterprises faced an immediate compliance crisis. </w:t>
      </w:r>
      <w:proofErr w:type="spellStart"/>
      <w:r w:rsidRPr="0008417C">
        <w:t>DigitalAnumati</w:t>
      </w:r>
      <w:proofErr w:type="spellEnd"/>
      <w:r w:rsidRPr="0008417C">
        <w:t xml:space="preserve"> possessed a robust consent management platform, but their visibility vanished the moment their ad </w:t>
      </w:r>
      <w:proofErr w:type="gramStart"/>
      <w:r w:rsidRPr="0008417C">
        <w:t>spend</w:t>
      </w:r>
      <w:proofErr w:type="gramEnd"/>
      <w:r w:rsidRPr="0008417C">
        <w:t xml:space="preserve"> paused.</w:t>
      </w:r>
    </w:p>
    <w:p w14:paraId="7A88BF73" w14:textId="77777777" w:rsidR="0008417C" w:rsidRPr="0008417C" w:rsidRDefault="0008417C" w:rsidP="0008417C">
      <w:r w:rsidRPr="0008417C">
        <w:t xml:space="preserve">B2B procurement has shifted. CTOs and Legal Counsel were not clicking Google Ads; they were asking ChatGPT deep technical questions about API integration and webhook configurations for data erasure. </w:t>
      </w:r>
      <w:proofErr w:type="spellStart"/>
      <w:r w:rsidRPr="0008417C">
        <w:t>DigitalAnumati</w:t>
      </w:r>
      <w:proofErr w:type="spellEnd"/>
      <w:r w:rsidRPr="0008417C">
        <w:t xml:space="preserve"> needed to become the default AI Retrieval infrastructure for Indian privacy law.</w:t>
      </w:r>
    </w:p>
    <w:p w14:paraId="6B259D8E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 xml:space="preserve">2. The </w:t>
      </w:r>
      <w:proofErr w:type="spellStart"/>
      <w:r w:rsidRPr="0008417C">
        <w:rPr>
          <w:b/>
          <w:bCs/>
        </w:rPr>
        <w:t>Lumenario</w:t>
      </w:r>
      <w:proofErr w:type="spellEnd"/>
      <w:r w:rsidRPr="0008417C">
        <w:rPr>
          <w:b/>
          <w:bCs/>
        </w:rPr>
        <w:t xml:space="preserve"> Sovereign Deployment Architecture</w:t>
      </w:r>
    </w:p>
    <w:p w14:paraId="1D1A3751" w14:textId="77777777" w:rsidR="0008417C" w:rsidRPr="0008417C" w:rsidRDefault="0008417C" w:rsidP="0008417C">
      <w:r w:rsidRPr="0008417C">
        <w:t xml:space="preserve">Between March 15 and April 3, 2026, </w:t>
      </w:r>
      <w:proofErr w:type="spellStart"/>
      <w:r w:rsidRPr="0008417C">
        <w:t>Lumenario</w:t>
      </w:r>
      <w:proofErr w:type="spellEnd"/>
      <w:r w:rsidRPr="0008417C">
        <w:t xml:space="preserve"> deployed its 4-Agent workforce to architect a 70+ node Sovereign Grid, mapping complex B2B intent into a machine-readable format.</w:t>
      </w:r>
    </w:p>
    <w:p w14:paraId="11C8D31B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2.1 The Intent Grid Architecture (Semantic Structuring)</w:t>
      </w:r>
    </w:p>
    <w:p w14:paraId="60575A85" w14:textId="77777777" w:rsidR="0008417C" w:rsidRPr="0008417C" w:rsidRDefault="0008417C" w:rsidP="0008417C">
      <w:r w:rsidRPr="0008417C">
        <w:t>We bypassed generic "top of funnel" marketing and segmented the enterprise buying committee, structuring the Knowledge Nodes to intercept hyper-specific queries:</w:t>
      </w:r>
    </w:p>
    <w:p w14:paraId="12388480" w14:textId="77777777" w:rsidR="0008417C" w:rsidRPr="0008417C" w:rsidRDefault="0008417C" w:rsidP="0008417C">
      <w:pPr>
        <w:numPr>
          <w:ilvl w:val="0"/>
          <w:numId w:val="5"/>
        </w:numPr>
      </w:pPr>
      <w:r w:rsidRPr="0008417C">
        <w:rPr>
          <w:b/>
          <w:bCs/>
        </w:rPr>
        <w:t>The Technical Integration Layer (CTOs):</w:t>
      </w:r>
      <w:r w:rsidRPr="0008417C">
        <w:t xml:space="preserve"> Nodes detailing exact database schema designs for consent artifacts, JWT vs. Consent Tokens, and event-driven webhook configurations.</w:t>
      </w:r>
    </w:p>
    <w:p w14:paraId="1D3FD05C" w14:textId="77777777" w:rsidR="0008417C" w:rsidRPr="0008417C" w:rsidRDefault="0008417C" w:rsidP="0008417C">
      <w:pPr>
        <w:numPr>
          <w:ilvl w:val="0"/>
          <w:numId w:val="5"/>
        </w:numPr>
      </w:pPr>
      <w:r w:rsidRPr="0008417C">
        <w:rPr>
          <w:b/>
          <w:bCs/>
        </w:rPr>
        <w:t>The D2C Revenue Moat (CMOs):</w:t>
      </w:r>
      <w:r w:rsidRPr="0008417C">
        <w:t xml:space="preserve"> Nodes explaining how to maintain first-party retail media attribution and WhatsApp marketing while remaining strictly DPDP compliant.</w:t>
      </w:r>
    </w:p>
    <w:p w14:paraId="34291331" w14:textId="77777777" w:rsidR="0008417C" w:rsidRPr="0008417C" w:rsidRDefault="0008417C" w:rsidP="0008417C">
      <w:pPr>
        <w:numPr>
          <w:ilvl w:val="0"/>
          <w:numId w:val="5"/>
        </w:numPr>
      </w:pPr>
      <w:r w:rsidRPr="0008417C">
        <w:rPr>
          <w:b/>
          <w:bCs/>
        </w:rPr>
        <w:t>The Enterprise Governance Ledger (DPOs):</w:t>
      </w:r>
      <w:r w:rsidRPr="0008417C">
        <w:t xml:space="preserve"> Definitive frameworks on the 72-hour breach clock and evidentiary standards for the Data Protection Board (DPB).</w:t>
      </w:r>
    </w:p>
    <w:p w14:paraId="26D21A5D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2.2 Deep JSON-LD &amp; Extractable Answers</w:t>
      </w:r>
    </w:p>
    <w:p w14:paraId="654A3A46" w14:textId="77777777" w:rsidR="0008417C" w:rsidRPr="0008417C" w:rsidRDefault="0008417C" w:rsidP="0008417C">
      <w:r w:rsidRPr="0008417C">
        <w:t xml:space="preserve">B2B procurement questions require definitive, structured answers. We engineered the grid to provide </w:t>
      </w:r>
      <w:r w:rsidRPr="0008417C">
        <w:rPr>
          <w:b/>
          <w:bCs/>
        </w:rPr>
        <w:t>Extractable Answers</w:t>
      </w:r>
      <w:r w:rsidRPr="0008417C">
        <w:t xml:space="preserve"> rather than narrative text.</w:t>
      </w:r>
    </w:p>
    <w:p w14:paraId="6BAA7D1F" w14:textId="77777777" w:rsidR="0008417C" w:rsidRPr="0008417C" w:rsidRDefault="0008417C" w:rsidP="0008417C">
      <w:pPr>
        <w:numPr>
          <w:ilvl w:val="0"/>
          <w:numId w:val="6"/>
        </w:numPr>
      </w:pPr>
      <w:r w:rsidRPr="0008417C">
        <w:rPr>
          <w:b/>
          <w:bCs/>
        </w:rPr>
        <w:lastRenderedPageBreak/>
        <w:t>FAQ and Step-by-Step Schema:</w:t>
      </w:r>
      <w:r w:rsidRPr="0008417C">
        <w:t xml:space="preserve"> We injected complex schema directly into nodes like "How to map data flows before implementing a consent platform." This allowed Google’s Gemini to extract the exact compliance checklist and serve it as a Zero-Click result.</w:t>
      </w:r>
    </w:p>
    <w:p w14:paraId="068F0B79" w14:textId="77777777" w:rsidR="0008417C" w:rsidRPr="0008417C" w:rsidRDefault="0008417C" w:rsidP="0008417C">
      <w:pPr>
        <w:numPr>
          <w:ilvl w:val="0"/>
          <w:numId w:val="6"/>
        </w:numPr>
      </w:pPr>
      <w:r w:rsidRPr="0008417C">
        <w:rPr>
          <w:b/>
          <w:bCs/>
        </w:rPr>
        <w:t>Brand Facts Extraction:</w:t>
      </w:r>
      <w:r w:rsidRPr="0008417C">
        <w:t xml:space="preserve"> The grid systematically defined 700+ distinct brand and legal facts. By structuring differences like "RBI KYC retention rules vs. DPDP erasure requirements," we locked </w:t>
      </w:r>
      <w:proofErr w:type="spellStart"/>
      <w:r w:rsidRPr="0008417C">
        <w:t>DigitalAnumati’s</w:t>
      </w:r>
      <w:proofErr w:type="spellEnd"/>
      <w:r w:rsidRPr="0008417C">
        <w:t xml:space="preserve"> specific platform capabilities into the AI's contextual memory as the definitive solution.</w:t>
      </w:r>
    </w:p>
    <w:p w14:paraId="38B7C227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2.3 The Adjudicator Agent &amp; 0% Legal Hallucination</w:t>
      </w:r>
    </w:p>
    <w:p w14:paraId="7CA0178C" w14:textId="77777777" w:rsidR="0008417C" w:rsidRPr="0008417C" w:rsidRDefault="0008417C" w:rsidP="0008417C">
      <w:r w:rsidRPr="0008417C">
        <w:t>In the legal compliance sector, an AI hallucination is catastrophic.</w:t>
      </w:r>
    </w:p>
    <w:p w14:paraId="24B45DB5" w14:textId="77777777" w:rsidR="0008417C" w:rsidRPr="0008417C" w:rsidRDefault="0008417C" w:rsidP="0008417C">
      <w:pPr>
        <w:numPr>
          <w:ilvl w:val="0"/>
          <w:numId w:val="7"/>
        </w:numPr>
      </w:pPr>
      <w:r w:rsidRPr="0008417C">
        <w:rPr>
          <w:b/>
          <w:bCs/>
        </w:rPr>
        <w:t>The Verification Protocol:</w:t>
      </w:r>
      <w:r w:rsidRPr="0008417C">
        <w:t xml:space="preserve"> The </w:t>
      </w:r>
      <w:proofErr w:type="spellStart"/>
      <w:r w:rsidRPr="0008417C">
        <w:t>Lumenario</w:t>
      </w:r>
      <w:proofErr w:type="spellEnd"/>
      <w:r w:rsidRPr="0008417C">
        <w:t xml:space="preserve"> Adjudicator Agent was configured to rigorously cross-reference every generated node against the official Government of India DPDP gazette data.</w:t>
      </w:r>
    </w:p>
    <w:p w14:paraId="367BA85E" w14:textId="77777777" w:rsidR="0008417C" w:rsidRPr="0008417C" w:rsidRDefault="0008417C" w:rsidP="0008417C">
      <w:pPr>
        <w:numPr>
          <w:ilvl w:val="0"/>
          <w:numId w:val="7"/>
        </w:numPr>
      </w:pPr>
      <w:r w:rsidRPr="0008417C">
        <w:rPr>
          <w:b/>
          <w:bCs/>
        </w:rPr>
        <w:t>The Trust Signal:</w:t>
      </w:r>
      <w:r w:rsidRPr="0008417C">
        <w:t xml:space="preserve"> This guaranteed a </w:t>
      </w:r>
      <w:r w:rsidRPr="0008417C">
        <w:rPr>
          <w:b/>
          <w:bCs/>
        </w:rPr>
        <w:t>0% Legal Hallucination Rate</w:t>
      </w:r>
      <w:r w:rsidRPr="0008417C">
        <w:t>, establishing the ultimate trust signal for both the AI models ingesting the data and the Enterprise DPOs reading the citations.</w:t>
      </w:r>
    </w:p>
    <w:p w14:paraId="40F70028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2.4 Server Log Verification (The "Ingestion Phase")</w:t>
      </w:r>
    </w:p>
    <w:p w14:paraId="5ECDC87C" w14:textId="77777777" w:rsidR="0008417C" w:rsidRPr="0008417C" w:rsidRDefault="0008417C" w:rsidP="0008417C">
      <w:r w:rsidRPr="0008417C">
        <w:t>We monitored raw server logs (combined_access.csv) to verify deployment success beyond standard Google Analytics.</w:t>
      </w:r>
    </w:p>
    <w:p w14:paraId="1791219A" w14:textId="77777777" w:rsidR="0008417C" w:rsidRPr="0008417C" w:rsidRDefault="0008417C" w:rsidP="0008417C">
      <w:pPr>
        <w:numPr>
          <w:ilvl w:val="0"/>
          <w:numId w:val="8"/>
        </w:numPr>
      </w:pPr>
      <w:r w:rsidRPr="0008417C">
        <w:t xml:space="preserve">Within 20 days, the infrastructure was hit by major AI crawlers over 3,000 times, maintaining a </w:t>
      </w:r>
      <w:r w:rsidRPr="0008417C">
        <w:rPr>
          <w:b/>
          <w:bCs/>
        </w:rPr>
        <w:t>100% HTTP 200 OK</w:t>
      </w:r>
      <w:r w:rsidRPr="0008417C">
        <w:t xml:space="preserve"> response rate.</w:t>
      </w:r>
    </w:p>
    <w:p w14:paraId="35C2E1A5" w14:textId="77777777" w:rsidR="0008417C" w:rsidRPr="0008417C" w:rsidRDefault="0008417C" w:rsidP="0008417C">
      <w:pPr>
        <w:numPr>
          <w:ilvl w:val="0"/>
          <w:numId w:val="8"/>
        </w:numPr>
      </w:pPr>
      <w:r w:rsidRPr="0008417C">
        <w:t xml:space="preserve">We identified </w:t>
      </w:r>
      <w:r w:rsidRPr="0008417C">
        <w:rPr>
          <w:b/>
          <w:bCs/>
        </w:rPr>
        <w:t>"Consensus Nodes"</w:t>
      </w:r>
      <w:r w:rsidRPr="0008417C">
        <w:t xml:space="preserve"> (e.g., /</w:t>
      </w:r>
      <w:proofErr w:type="spellStart"/>
      <w:r w:rsidRPr="0008417C">
        <w:t>dpdp</w:t>
      </w:r>
      <w:proofErr w:type="spellEnd"/>
      <w:r w:rsidRPr="0008417C">
        <w:t xml:space="preserve">-compliance-and-readiness/)—specific pages that were simultaneously crawled and validated by ChatGPT-User, </w:t>
      </w:r>
      <w:proofErr w:type="spellStart"/>
      <w:r w:rsidRPr="0008417C">
        <w:t>PerplexityBot</w:t>
      </w:r>
      <w:proofErr w:type="spellEnd"/>
      <w:r w:rsidRPr="0008417C">
        <w:t xml:space="preserve">, and </w:t>
      </w:r>
      <w:proofErr w:type="spellStart"/>
      <w:r w:rsidRPr="0008417C">
        <w:t>ClaudeBot</w:t>
      </w:r>
      <w:proofErr w:type="spellEnd"/>
      <w:r w:rsidRPr="0008417C">
        <w:t>, confirming them as foundational facts across the global AI ecosystem.</w:t>
      </w:r>
    </w:p>
    <w:p w14:paraId="10574279" w14:textId="77777777" w:rsidR="0008417C" w:rsidRPr="0008417C" w:rsidRDefault="0008417C" w:rsidP="0008417C">
      <w:pPr>
        <w:rPr>
          <w:b/>
          <w:bCs/>
        </w:rPr>
      </w:pPr>
      <w:r w:rsidRPr="0008417C">
        <w:rPr>
          <w:b/>
          <w:bCs/>
        </w:rPr>
        <w:t>3. The Compounding Results (First 30 Days)</w:t>
      </w:r>
    </w:p>
    <w:p w14:paraId="7E9DD307" w14:textId="77777777" w:rsidR="0008417C" w:rsidRPr="0008417C" w:rsidRDefault="0008417C" w:rsidP="0008417C">
      <w:pPr>
        <w:numPr>
          <w:ilvl w:val="0"/>
          <w:numId w:val="9"/>
        </w:numPr>
      </w:pPr>
      <w:r w:rsidRPr="0008417C">
        <w:rPr>
          <w:b/>
          <w:bCs/>
        </w:rPr>
        <w:t>AI Ingestion:</w:t>
      </w:r>
      <w:r w:rsidRPr="0008417C">
        <w:t xml:space="preserve"> 25,000+ Search and AI Citations generated.</w:t>
      </w:r>
    </w:p>
    <w:p w14:paraId="07B5A0CB" w14:textId="77777777" w:rsidR="0008417C" w:rsidRPr="0008417C" w:rsidRDefault="0008417C" w:rsidP="0008417C">
      <w:pPr>
        <w:numPr>
          <w:ilvl w:val="0"/>
          <w:numId w:val="9"/>
        </w:numPr>
      </w:pPr>
      <w:r w:rsidRPr="0008417C">
        <w:rPr>
          <w:b/>
          <w:bCs/>
        </w:rPr>
        <w:t>Zero-Click Interception:</w:t>
      </w:r>
      <w:r w:rsidRPr="0008417C">
        <w:t xml:space="preserve"> Successfully captured complex enterprise queries like "DPDP act breach notification timeline 72 hours" (Position 10.6, 128 impressions).</w:t>
      </w:r>
    </w:p>
    <w:p w14:paraId="5DE638ED" w14:textId="77777777" w:rsidR="0008417C" w:rsidRPr="0008417C" w:rsidRDefault="0008417C" w:rsidP="0008417C">
      <w:pPr>
        <w:numPr>
          <w:ilvl w:val="0"/>
          <w:numId w:val="9"/>
        </w:numPr>
      </w:pPr>
      <w:r w:rsidRPr="0008417C">
        <w:rPr>
          <w:b/>
          <w:bCs/>
        </w:rPr>
        <w:t>Enterprise Trust Metric:</w:t>
      </w:r>
      <w:r w:rsidRPr="0008417C">
        <w:t xml:space="preserve"> Achieved an organic search engagement rate of 60%, with enterprise buyers spending an average of </w:t>
      </w:r>
      <w:r w:rsidRPr="0008417C">
        <w:rPr>
          <w:b/>
          <w:bCs/>
        </w:rPr>
        <w:t>229 seconds (3.8 minutes)</w:t>
      </w:r>
      <w:r w:rsidRPr="0008417C">
        <w:t xml:space="preserve"> per session studying the technical nodes.</w:t>
      </w:r>
    </w:p>
    <w:p w14:paraId="6422CA3E" w14:textId="77777777" w:rsidR="0008417C" w:rsidRPr="0008417C" w:rsidRDefault="0008417C" w:rsidP="0008417C">
      <w:pPr>
        <w:numPr>
          <w:ilvl w:val="0"/>
          <w:numId w:val="9"/>
        </w:numPr>
      </w:pPr>
      <w:r w:rsidRPr="0008417C">
        <w:rPr>
          <w:b/>
          <w:bCs/>
        </w:rPr>
        <w:lastRenderedPageBreak/>
        <w:t>The Sovereign Reality:</w:t>
      </w:r>
      <w:r w:rsidRPr="0008417C">
        <w:t xml:space="preserve"> </w:t>
      </w:r>
      <w:proofErr w:type="spellStart"/>
      <w:r w:rsidRPr="0008417C">
        <w:t>DigitalAnumati</w:t>
      </w:r>
      <w:proofErr w:type="spellEnd"/>
      <w:r w:rsidRPr="0008417C">
        <w:t xml:space="preserve"> achieved direct, highly-engaged citations in both ChatGPT (158 seconds avg. engagement) and Perplexity.ai. They successfully transitioned from renting clicks to owning the definitive DPDP "Truth Layer."</w:t>
      </w:r>
    </w:p>
    <w:p w14:paraId="09295E86" w14:textId="77777777" w:rsidR="0008417C" w:rsidRDefault="0008417C"/>
    <w:sectPr w:rsidR="0008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B37"/>
    <w:multiLevelType w:val="multilevel"/>
    <w:tmpl w:val="1998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20699"/>
    <w:multiLevelType w:val="multilevel"/>
    <w:tmpl w:val="BD5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93097"/>
    <w:multiLevelType w:val="multilevel"/>
    <w:tmpl w:val="A35E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B68CB"/>
    <w:multiLevelType w:val="multilevel"/>
    <w:tmpl w:val="FA30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D0BCD"/>
    <w:multiLevelType w:val="multilevel"/>
    <w:tmpl w:val="B5B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51E4E"/>
    <w:multiLevelType w:val="multilevel"/>
    <w:tmpl w:val="934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90080"/>
    <w:multiLevelType w:val="multilevel"/>
    <w:tmpl w:val="A80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55FD3"/>
    <w:multiLevelType w:val="multilevel"/>
    <w:tmpl w:val="E34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A74B9"/>
    <w:multiLevelType w:val="multilevel"/>
    <w:tmpl w:val="5B5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266727">
    <w:abstractNumId w:val="2"/>
  </w:num>
  <w:num w:numId="2" w16cid:durableId="1506167959">
    <w:abstractNumId w:val="8"/>
  </w:num>
  <w:num w:numId="3" w16cid:durableId="90122996">
    <w:abstractNumId w:val="0"/>
  </w:num>
  <w:num w:numId="4" w16cid:durableId="4989768">
    <w:abstractNumId w:val="1"/>
  </w:num>
  <w:num w:numId="5" w16cid:durableId="1760373078">
    <w:abstractNumId w:val="4"/>
  </w:num>
  <w:num w:numId="6" w16cid:durableId="1829637078">
    <w:abstractNumId w:val="6"/>
  </w:num>
  <w:num w:numId="7" w16cid:durableId="885142399">
    <w:abstractNumId w:val="3"/>
  </w:num>
  <w:num w:numId="8" w16cid:durableId="1634827321">
    <w:abstractNumId w:val="5"/>
  </w:num>
  <w:num w:numId="9" w16cid:durableId="535239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7C"/>
    <w:rsid w:val="0008417C"/>
    <w:rsid w:val="009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8C89"/>
  <w15:chartTrackingRefBased/>
  <w15:docId w15:val="{B14C08B5-FB4B-4CC0-843F-D6196DA5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</dc:creator>
  <cp:keywords/>
  <dc:description/>
  <cp:lastModifiedBy>sandeep singh</cp:lastModifiedBy>
  <cp:revision>1</cp:revision>
  <dcterms:created xsi:type="dcterms:W3CDTF">2026-04-13T04:05:00Z</dcterms:created>
  <dcterms:modified xsi:type="dcterms:W3CDTF">2026-04-13T04:07:00Z</dcterms:modified>
</cp:coreProperties>
</file>